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BEE6A" w14:textId="38E06F4A" w:rsidR="008318C3" w:rsidRDefault="008318C3" w:rsidP="00D221D9"/>
    <w:p w14:paraId="151A4021" w14:textId="7B18339C" w:rsidR="0050757B" w:rsidRPr="0050757B" w:rsidRDefault="0050757B" w:rsidP="0050757B">
      <w:pPr>
        <w:jc w:val="center"/>
        <w:rPr>
          <w:b/>
          <w:bCs/>
        </w:rPr>
      </w:pPr>
      <w:r w:rsidRPr="0050757B">
        <w:rPr>
          <w:b/>
          <w:bCs/>
        </w:rPr>
        <w:t>ONLINE COPY</w:t>
      </w:r>
    </w:p>
    <w:p w14:paraId="0437CC09" w14:textId="77777777" w:rsidR="0050757B" w:rsidRPr="0050757B" w:rsidRDefault="0050757B" w:rsidP="0050757B">
      <w:pPr>
        <w:rPr>
          <w:b/>
          <w:bCs/>
        </w:rPr>
      </w:pPr>
      <w:proofErr w:type="spellStart"/>
      <w:r w:rsidRPr="0050757B">
        <w:rPr>
          <w:b/>
          <w:bCs/>
        </w:rPr>
        <w:t>Alflorex</w:t>
      </w:r>
      <w:proofErr w:type="spellEnd"/>
      <w:r w:rsidRPr="0050757B">
        <w:rPr>
          <w:b/>
          <w:bCs/>
        </w:rPr>
        <w:t xml:space="preserve"> ® Original Daily Gut Health Supplement, 30 Capsules</w:t>
      </w:r>
    </w:p>
    <w:p w14:paraId="6B9B15C9" w14:textId="77777777" w:rsidR="0050757B" w:rsidRPr="0050757B" w:rsidRDefault="0050757B" w:rsidP="0050757B">
      <w:pPr>
        <w:rPr>
          <w:b/>
          <w:bCs/>
        </w:rPr>
      </w:pPr>
      <w:r w:rsidRPr="0050757B">
        <w:rPr>
          <w:b/>
          <w:bCs/>
        </w:rPr>
        <w:t>What does it do?</w:t>
      </w:r>
    </w:p>
    <w:p w14:paraId="379FB9C7" w14:textId="77777777" w:rsidR="0050757B" w:rsidRDefault="0050757B" w:rsidP="0050757B">
      <w:proofErr w:type="spellStart"/>
      <w:r>
        <w:t>Alflorex</w:t>
      </w:r>
      <w:proofErr w:type="spellEnd"/>
      <w:r>
        <w:t xml:space="preserve">®, with the unique scientifically tested Bifidobacterium Longum 35624® live culture, was discovered and developed by PrecisionBiotics®, in partnership with clinicians from one of the world’s leading </w:t>
      </w:r>
      <w:proofErr w:type="spellStart"/>
      <w:r>
        <w:t>centres</w:t>
      </w:r>
      <w:proofErr w:type="spellEnd"/>
      <w:r>
        <w:t xml:space="preserve"> of microbiome research.</w:t>
      </w:r>
    </w:p>
    <w:p w14:paraId="05A6E794" w14:textId="77777777" w:rsidR="0050757B" w:rsidRDefault="0050757B" w:rsidP="0050757B">
      <w:r>
        <w:t xml:space="preserve">This naturally occurring 'good' bacteria is part of the family of bacteria given by mother to baby at birth. Each capsule of </w:t>
      </w:r>
      <w:proofErr w:type="spellStart"/>
      <w:r>
        <w:t>Alflorex</w:t>
      </w:r>
      <w:proofErr w:type="spellEnd"/>
      <w:r>
        <w:t>® Original is packed with 10^9 live bacteria, carefully selected for its efficacy.</w:t>
      </w:r>
    </w:p>
    <w:p w14:paraId="6F0EDBE6" w14:textId="77777777" w:rsidR="0050757B" w:rsidRDefault="0050757B" w:rsidP="0050757B">
      <w:r>
        <w:t xml:space="preserve">Clinically proven to reach the gut intact to complement and support your natural gut microbiota. </w:t>
      </w:r>
    </w:p>
    <w:p w14:paraId="2816FD2B" w14:textId="77777777" w:rsidR="0050757B" w:rsidRDefault="0050757B" w:rsidP="0050757B">
      <w:r>
        <w:t>•</w:t>
      </w:r>
      <w:r>
        <w:tab/>
        <w:t>Dairy free</w:t>
      </w:r>
    </w:p>
    <w:p w14:paraId="14FB22C8" w14:textId="77777777" w:rsidR="0050757B" w:rsidRDefault="0050757B" w:rsidP="0050757B">
      <w:r>
        <w:t>•</w:t>
      </w:r>
      <w:r>
        <w:tab/>
        <w:t>Soya free</w:t>
      </w:r>
    </w:p>
    <w:p w14:paraId="01720310" w14:textId="77777777" w:rsidR="0050757B" w:rsidRDefault="0050757B" w:rsidP="0050757B">
      <w:r>
        <w:t>•</w:t>
      </w:r>
      <w:r>
        <w:tab/>
        <w:t>Lactose free</w:t>
      </w:r>
    </w:p>
    <w:p w14:paraId="0DEC3D54" w14:textId="77777777" w:rsidR="0050757B" w:rsidRDefault="0050757B" w:rsidP="0050757B">
      <w:r>
        <w:t>•</w:t>
      </w:r>
      <w:r>
        <w:tab/>
        <w:t>Gluten free</w:t>
      </w:r>
    </w:p>
    <w:p w14:paraId="3AF9820E" w14:textId="77777777" w:rsidR="0050757B" w:rsidRDefault="0050757B" w:rsidP="0050757B">
      <w:r>
        <w:t>•</w:t>
      </w:r>
      <w:r>
        <w:tab/>
        <w:t>Vegan</w:t>
      </w:r>
    </w:p>
    <w:p w14:paraId="10FF1D75" w14:textId="77777777" w:rsidR="0050757B" w:rsidRDefault="0050757B" w:rsidP="0050757B">
      <w:r>
        <w:t>•</w:t>
      </w:r>
      <w:r>
        <w:tab/>
        <w:t>Suitable for those on a low FODMAP diet.</w:t>
      </w:r>
    </w:p>
    <w:p w14:paraId="2619BC84" w14:textId="77777777" w:rsidR="0050757B" w:rsidRDefault="0050757B" w:rsidP="0050757B">
      <w:r>
        <w:t xml:space="preserve">If you find swallowing capsules challenging, try out our </w:t>
      </w:r>
      <w:proofErr w:type="spellStart"/>
      <w:r>
        <w:t>Alflorex</w:t>
      </w:r>
      <w:proofErr w:type="spellEnd"/>
      <w:r>
        <w:t xml:space="preserve">® </w:t>
      </w:r>
      <w:proofErr w:type="spellStart"/>
      <w:r>
        <w:t>Chewables</w:t>
      </w:r>
      <w:proofErr w:type="spellEnd"/>
      <w:r>
        <w:t xml:space="preserve"> version.</w:t>
      </w:r>
    </w:p>
    <w:p w14:paraId="4461D178" w14:textId="77777777" w:rsidR="0050757B" w:rsidRDefault="0050757B" w:rsidP="0050757B">
      <w:r>
        <w:t>Suitable for</w:t>
      </w:r>
    </w:p>
    <w:p w14:paraId="77ADC74D" w14:textId="77777777" w:rsidR="0050757B" w:rsidRDefault="0050757B" w:rsidP="0050757B">
      <w:r>
        <w:t>Suitable for those on a low FODMAP diet</w:t>
      </w:r>
    </w:p>
    <w:p w14:paraId="60C3C597" w14:textId="77777777" w:rsidR="0050757B" w:rsidRPr="0050757B" w:rsidRDefault="0050757B" w:rsidP="0050757B">
      <w:pPr>
        <w:rPr>
          <w:b/>
          <w:bCs/>
        </w:rPr>
      </w:pPr>
      <w:r w:rsidRPr="0050757B">
        <w:rPr>
          <w:b/>
          <w:bCs/>
        </w:rPr>
        <w:t xml:space="preserve">How to use: </w:t>
      </w:r>
    </w:p>
    <w:p w14:paraId="03BF5C17" w14:textId="0341AA66" w:rsidR="0050757B" w:rsidRDefault="0050757B" w:rsidP="0050757B">
      <w:r>
        <w:t xml:space="preserve">Take 1 capsule daily with or without food, any time of day. Note: Fruit juices are generally </w:t>
      </w:r>
      <w:proofErr w:type="gramStart"/>
      <w:r>
        <w:t>acidic</w:t>
      </w:r>
      <w:proofErr w:type="gramEnd"/>
      <w:r>
        <w:t xml:space="preserve"> and acid can damage the 35624 culture. We recommend taking </w:t>
      </w:r>
      <w:proofErr w:type="spellStart"/>
      <w:r>
        <w:t>Alflorex</w:t>
      </w:r>
      <w:proofErr w:type="spellEnd"/>
      <w:r>
        <w:t xml:space="preserve">® with water or milk or less acidic drinks </w:t>
      </w:r>
      <w:proofErr w:type="gramStart"/>
      <w:r>
        <w:t>e.g.</w:t>
      </w:r>
      <w:proofErr w:type="gramEnd"/>
      <w:r>
        <w:t xml:space="preserve"> soya, almond or rice milks. However, </w:t>
      </w:r>
      <w:proofErr w:type="spellStart"/>
      <w:r>
        <w:t>Alflorex</w:t>
      </w:r>
      <w:proofErr w:type="spellEnd"/>
      <w:r>
        <w:t>® can be taken as part of a meal that has fruit juice, as the food will help protect the 35624</w:t>
      </w:r>
      <w:proofErr w:type="gramStart"/>
      <w:r>
        <w:t>®  culture</w:t>
      </w:r>
      <w:proofErr w:type="gramEnd"/>
      <w:r>
        <w:t>."</w:t>
      </w:r>
      <w:r>
        <w:tab/>
      </w:r>
      <w:r>
        <w:tab/>
      </w:r>
      <w:r>
        <w:tab/>
      </w:r>
      <w:r>
        <w:tab/>
      </w:r>
      <w:r>
        <w:tab/>
      </w:r>
      <w:r>
        <w:tab/>
      </w:r>
      <w:r>
        <w:tab/>
      </w:r>
      <w:r>
        <w:tab/>
      </w:r>
      <w:r>
        <w:tab/>
      </w:r>
    </w:p>
    <w:p w14:paraId="29658D38" w14:textId="77777777" w:rsidR="0050757B" w:rsidRPr="0050757B" w:rsidRDefault="0050757B" w:rsidP="0050757B">
      <w:pPr>
        <w:spacing w:after="0" w:line="330" w:lineRule="atLeast"/>
        <w:outlineLvl w:val="2"/>
        <w:rPr>
          <w:rFonts w:eastAsia="Times New Roman" w:cs="Arial"/>
          <w:b/>
          <w:bCs/>
          <w:color w:val="333333"/>
          <w:sz w:val="24"/>
          <w:szCs w:val="24"/>
          <w:lang w:bidi="hi-IN"/>
        </w:rPr>
      </w:pPr>
      <w:r w:rsidRPr="0050757B">
        <w:rPr>
          <w:rFonts w:eastAsia="Times New Roman" w:cs="Arial"/>
          <w:b/>
          <w:bCs/>
          <w:color w:val="333333"/>
          <w:sz w:val="24"/>
          <w:szCs w:val="24"/>
          <w:lang w:bidi="hi-IN"/>
        </w:rPr>
        <w:t>Hazards and Cautions</w:t>
      </w:r>
    </w:p>
    <w:p w14:paraId="37E768F2" w14:textId="77777777" w:rsidR="0050757B" w:rsidRPr="0050757B" w:rsidRDefault="0050757B" w:rsidP="0050757B">
      <w:pPr>
        <w:spacing w:line="300" w:lineRule="atLeast"/>
        <w:rPr>
          <w:rFonts w:eastAsia="Times New Roman" w:cs="Arial"/>
          <w:color w:val="333333"/>
          <w:sz w:val="24"/>
          <w:szCs w:val="24"/>
          <w:lang w:bidi="hi-IN"/>
        </w:rPr>
      </w:pPr>
      <w:r w:rsidRPr="0050757B">
        <w:rPr>
          <w:rFonts w:eastAsia="Times New Roman" w:cs="Arial"/>
          <w:color w:val="333333"/>
          <w:sz w:val="24"/>
          <w:szCs w:val="24"/>
          <w:lang w:bidi="hi-IN"/>
        </w:rPr>
        <w:t>Food Supplements are intended to supplement the diet and should not be substituted for a varied diet or healthy lifestyle.</w:t>
      </w:r>
      <w:r w:rsidRPr="0050757B">
        <w:rPr>
          <w:rFonts w:eastAsia="Times New Roman" w:cs="Arial"/>
          <w:color w:val="333333"/>
          <w:sz w:val="24"/>
          <w:szCs w:val="24"/>
          <w:lang w:bidi="hi-IN"/>
        </w:rPr>
        <w:br/>
      </w:r>
      <w:r w:rsidRPr="0050757B">
        <w:rPr>
          <w:rFonts w:eastAsia="Times New Roman" w:cs="Arial"/>
          <w:color w:val="333333"/>
          <w:sz w:val="24"/>
          <w:szCs w:val="24"/>
          <w:lang w:bidi="hi-IN"/>
        </w:rPr>
        <w:br/>
      </w:r>
      <w:r w:rsidRPr="0050757B">
        <w:rPr>
          <w:rFonts w:eastAsia="Times New Roman" w:cs="Arial"/>
          <w:i/>
          <w:iCs/>
          <w:color w:val="333333"/>
          <w:sz w:val="24"/>
          <w:szCs w:val="24"/>
          <w:lang w:bidi="hi-IN"/>
        </w:rPr>
        <w:t xml:space="preserve">While every care has been taken to ensure this information is always as accurate as possible, food products are regularly </w:t>
      </w:r>
      <w:proofErr w:type="gramStart"/>
      <w:r w:rsidRPr="0050757B">
        <w:rPr>
          <w:rFonts w:eastAsia="Times New Roman" w:cs="Arial"/>
          <w:i/>
          <w:iCs/>
          <w:color w:val="333333"/>
          <w:sz w:val="24"/>
          <w:szCs w:val="24"/>
          <w:lang w:bidi="hi-IN"/>
        </w:rPr>
        <w:t>improved</w:t>
      </w:r>
      <w:proofErr w:type="gramEnd"/>
      <w:r w:rsidRPr="0050757B">
        <w:rPr>
          <w:rFonts w:eastAsia="Times New Roman" w:cs="Arial"/>
          <w:i/>
          <w:iCs/>
          <w:color w:val="333333"/>
          <w:sz w:val="24"/>
          <w:szCs w:val="24"/>
          <w:lang w:bidi="hi-IN"/>
        </w:rPr>
        <w:t xml:space="preserve"> and nutrition content may occasionally change. As a </w:t>
      </w:r>
      <w:proofErr w:type="gramStart"/>
      <w:r w:rsidRPr="0050757B">
        <w:rPr>
          <w:rFonts w:eastAsia="Times New Roman" w:cs="Arial"/>
          <w:i/>
          <w:iCs/>
          <w:color w:val="333333"/>
          <w:sz w:val="24"/>
          <w:szCs w:val="24"/>
          <w:lang w:bidi="hi-IN"/>
        </w:rPr>
        <w:t>result</w:t>
      </w:r>
      <w:proofErr w:type="gramEnd"/>
      <w:r w:rsidRPr="0050757B">
        <w:rPr>
          <w:rFonts w:eastAsia="Times New Roman" w:cs="Arial"/>
          <w:i/>
          <w:iCs/>
          <w:color w:val="333333"/>
          <w:sz w:val="24"/>
          <w:szCs w:val="24"/>
          <w:lang w:bidi="hi-IN"/>
        </w:rPr>
        <w:t xml:space="preserve"> we recommend that you always read the label carefully before using or consuming any products. Nutritional Reference Value (NRV) information is based on the typical composition of the product. Guideline daily amounts are those for a typical adult (men and women</w:t>
      </w:r>
      <w:proofErr w:type="gramStart"/>
      <w:r w:rsidRPr="0050757B">
        <w:rPr>
          <w:rFonts w:eastAsia="Times New Roman" w:cs="Arial"/>
          <w:i/>
          <w:iCs/>
          <w:color w:val="333333"/>
          <w:sz w:val="24"/>
          <w:szCs w:val="24"/>
          <w:lang w:bidi="hi-IN"/>
        </w:rPr>
        <w:t>).NRV</w:t>
      </w:r>
      <w:proofErr w:type="gramEnd"/>
      <w:r w:rsidRPr="0050757B">
        <w:rPr>
          <w:rFonts w:eastAsia="Times New Roman" w:cs="Arial"/>
          <w:i/>
          <w:iCs/>
          <w:color w:val="333333"/>
          <w:sz w:val="24"/>
          <w:szCs w:val="24"/>
          <w:lang w:bidi="hi-IN"/>
        </w:rPr>
        <w:t xml:space="preserve"> information for </w:t>
      </w:r>
      <w:proofErr w:type="spellStart"/>
      <w:r w:rsidRPr="0050757B">
        <w:rPr>
          <w:rFonts w:eastAsia="Times New Roman" w:cs="Arial"/>
          <w:i/>
          <w:iCs/>
          <w:color w:val="333333"/>
          <w:sz w:val="24"/>
          <w:szCs w:val="24"/>
          <w:lang w:bidi="hi-IN"/>
        </w:rPr>
        <w:t>non Boots</w:t>
      </w:r>
      <w:proofErr w:type="spellEnd"/>
      <w:r w:rsidRPr="0050757B">
        <w:rPr>
          <w:rFonts w:eastAsia="Times New Roman" w:cs="Arial"/>
          <w:i/>
          <w:iCs/>
          <w:color w:val="333333"/>
          <w:sz w:val="24"/>
          <w:szCs w:val="24"/>
          <w:lang w:bidi="hi-IN"/>
        </w:rPr>
        <w:t xml:space="preserve"> products is calculated by the manufacturer. Boots has no control over the recipe or nutritional content of such products and information on this site may differ to that given on the product label. We would therefore recommend you do not solely rely on this information and always read the product label. If you have any queries, or you would like advice on Boots products please contact our friendly Customer care team on 0345 609 0055.</w:t>
      </w:r>
      <w:r w:rsidRPr="0050757B">
        <w:rPr>
          <w:rFonts w:eastAsia="Times New Roman" w:cs="Arial"/>
          <w:color w:val="333333"/>
          <w:sz w:val="24"/>
          <w:szCs w:val="24"/>
          <w:lang w:bidi="hi-IN"/>
        </w:rPr>
        <w:br/>
      </w:r>
      <w:r w:rsidRPr="0050757B">
        <w:rPr>
          <w:rFonts w:eastAsia="Times New Roman" w:cs="Arial"/>
          <w:color w:val="333333"/>
          <w:sz w:val="24"/>
          <w:szCs w:val="24"/>
          <w:lang w:bidi="hi-IN"/>
        </w:rPr>
        <w:br/>
      </w:r>
      <w:r w:rsidRPr="0050757B">
        <w:rPr>
          <w:rFonts w:eastAsia="Times New Roman" w:cs="Arial"/>
          <w:color w:val="333333"/>
          <w:sz w:val="24"/>
          <w:szCs w:val="24"/>
          <w:lang w:bidi="hi-IN"/>
        </w:rPr>
        <w:lastRenderedPageBreak/>
        <w:t>This information was last updated 23/12/2020</w:t>
      </w:r>
      <w:r w:rsidRPr="0050757B">
        <w:rPr>
          <w:rFonts w:eastAsia="Times New Roman" w:cs="Arial"/>
          <w:color w:val="333333"/>
          <w:sz w:val="24"/>
          <w:szCs w:val="24"/>
          <w:lang w:bidi="hi-IN"/>
        </w:rPr>
        <w:br/>
      </w:r>
      <w:r w:rsidRPr="0050757B">
        <w:rPr>
          <w:rFonts w:eastAsia="Times New Roman" w:cs="Arial"/>
          <w:color w:val="333333"/>
          <w:sz w:val="24"/>
          <w:szCs w:val="24"/>
          <w:lang w:bidi="hi-IN"/>
        </w:rPr>
        <w:br/>
        <w:t>Do not exceed the stated dosage.</w:t>
      </w:r>
      <w:r w:rsidRPr="0050757B">
        <w:rPr>
          <w:rFonts w:eastAsia="Times New Roman" w:cs="Arial"/>
          <w:color w:val="333333"/>
          <w:sz w:val="24"/>
          <w:szCs w:val="24"/>
          <w:lang w:bidi="hi-IN"/>
        </w:rPr>
        <w:br/>
      </w:r>
      <w:r w:rsidRPr="0050757B">
        <w:rPr>
          <w:rFonts w:eastAsia="Times New Roman" w:cs="Arial"/>
          <w:color w:val="333333"/>
          <w:sz w:val="24"/>
          <w:szCs w:val="24"/>
          <w:lang w:bidi="hi-IN"/>
        </w:rPr>
        <w:br/>
      </w:r>
      <w:r w:rsidRPr="0050757B">
        <w:rPr>
          <w:rFonts w:eastAsia="Times New Roman" w:cs="Arial"/>
          <w:b/>
          <w:bCs/>
          <w:color w:val="333333"/>
          <w:sz w:val="24"/>
          <w:szCs w:val="24"/>
          <w:lang w:bidi="hi-IN"/>
        </w:rPr>
        <w:t>Keep out of the sight and reach of children</w:t>
      </w:r>
      <w:r w:rsidRPr="0050757B">
        <w:rPr>
          <w:rFonts w:eastAsia="Times New Roman" w:cs="Arial"/>
          <w:color w:val="333333"/>
          <w:sz w:val="24"/>
          <w:szCs w:val="24"/>
          <w:lang w:bidi="hi-IN"/>
        </w:rPr>
        <w:br/>
      </w:r>
      <w:r w:rsidRPr="0050757B">
        <w:rPr>
          <w:rFonts w:eastAsia="Times New Roman" w:cs="Arial"/>
          <w:color w:val="333333"/>
          <w:sz w:val="24"/>
          <w:szCs w:val="24"/>
          <w:lang w:bidi="hi-IN"/>
        </w:rPr>
        <w:br/>
        <w:t>Food Supplements are intended to supplement the diet and should not be substituted for a varied diet or healthy lifestyle.</w:t>
      </w:r>
      <w:r w:rsidRPr="0050757B">
        <w:rPr>
          <w:rFonts w:eastAsia="Times New Roman" w:cs="Arial"/>
          <w:color w:val="333333"/>
          <w:sz w:val="24"/>
          <w:szCs w:val="24"/>
          <w:lang w:bidi="hi-IN"/>
        </w:rPr>
        <w:br/>
      </w:r>
      <w:r w:rsidRPr="0050757B">
        <w:rPr>
          <w:rFonts w:eastAsia="Times New Roman" w:cs="Arial"/>
          <w:color w:val="333333"/>
          <w:sz w:val="24"/>
          <w:szCs w:val="24"/>
          <w:lang w:bidi="hi-IN"/>
        </w:rPr>
        <w:br/>
      </w:r>
      <w:r w:rsidRPr="0050757B">
        <w:rPr>
          <w:rFonts w:eastAsia="Times New Roman" w:cs="Arial"/>
          <w:b/>
          <w:bCs/>
          <w:color w:val="333333"/>
          <w:sz w:val="24"/>
          <w:szCs w:val="24"/>
          <w:lang w:bidi="hi-IN"/>
        </w:rPr>
        <w:t>Storage</w:t>
      </w:r>
      <w:r w:rsidRPr="0050757B">
        <w:rPr>
          <w:rFonts w:eastAsia="Times New Roman" w:cs="Arial"/>
          <w:color w:val="333333"/>
          <w:sz w:val="24"/>
          <w:szCs w:val="24"/>
          <w:lang w:bidi="hi-IN"/>
        </w:rPr>
        <w:br/>
      </w:r>
      <w:r w:rsidRPr="0050757B">
        <w:rPr>
          <w:rFonts w:eastAsia="Times New Roman" w:cs="Arial"/>
          <w:color w:val="333333"/>
          <w:sz w:val="24"/>
          <w:szCs w:val="24"/>
          <w:lang w:bidi="hi-IN"/>
        </w:rPr>
        <w:br/>
        <w:t>No refrigeration required</w:t>
      </w:r>
      <w:r w:rsidRPr="0050757B">
        <w:rPr>
          <w:rFonts w:eastAsia="Times New Roman" w:cs="Arial"/>
          <w:color w:val="333333"/>
          <w:sz w:val="24"/>
          <w:szCs w:val="24"/>
          <w:lang w:bidi="hi-IN"/>
        </w:rPr>
        <w:br/>
      </w:r>
      <w:r w:rsidRPr="0050757B">
        <w:rPr>
          <w:rFonts w:eastAsia="Times New Roman" w:cs="Arial"/>
          <w:color w:val="333333"/>
          <w:sz w:val="24"/>
          <w:szCs w:val="24"/>
          <w:lang w:bidi="hi-IN"/>
        </w:rPr>
        <w:br/>
        <w:t>Store below 25ºC</w:t>
      </w:r>
      <w:r w:rsidRPr="0050757B">
        <w:rPr>
          <w:rFonts w:eastAsia="Times New Roman" w:cs="Arial"/>
          <w:color w:val="333333"/>
          <w:sz w:val="24"/>
          <w:szCs w:val="24"/>
          <w:lang w:bidi="hi-IN"/>
        </w:rPr>
        <w:br/>
      </w:r>
      <w:r w:rsidRPr="0050757B">
        <w:rPr>
          <w:rFonts w:eastAsia="Times New Roman" w:cs="Arial"/>
          <w:color w:val="333333"/>
          <w:sz w:val="24"/>
          <w:szCs w:val="24"/>
          <w:lang w:bidi="hi-IN"/>
        </w:rPr>
        <w:br/>
        <w:t xml:space="preserve">For best results we recommend storing </w:t>
      </w:r>
      <w:proofErr w:type="spellStart"/>
      <w:r w:rsidRPr="0050757B">
        <w:rPr>
          <w:rFonts w:eastAsia="Times New Roman" w:cs="Arial"/>
          <w:color w:val="333333"/>
          <w:sz w:val="24"/>
          <w:szCs w:val="24"/>
          <w:lang w:bidi="hi-IN"/>
        </w:rPr>
        <w:t>Alflorex</w:t>
      </w:r>
      <w:proofErr w:type="spellEnd"/>
      <w:r w:rsidRPr="0050757B">
        <w:rPr>
          <w:rFonts w:eastAsia="Times New Roman" w:cs="Arial"/>
          <w:color w:val="333333"/>
          <w:sz w:val="24"/>
          <w:szCs w:val="24"/>
          <w:lang w:bidi="hi-IN"/>
        </w:rPr>
        <w:t>® in the original container with the lid securely closed.</w:t>
      </w:r>
      <w:r w:rsidRPr="0050757B">
        <w:rPr>
          <w:rFonts w:eastAsia="Times New Roman" w:cs="Arial"/>
          <w:color w:val="333333"/>
          <w:sz w:val="24"/>
          <w:szCs w:val="24"/>
          <w:lang w:bidi="hi-IN"/>
        </w:rPr>
        <w:br/>
        <w:t> </w:t>
      </w:r>
    </w:p>
    <w:p w14:paraId="43B1F051" w14:textId="77777777" w:rsidR="0050757B" w:rsidRPr="0050757B" w:rsidRDefault="0050757B" w:rsidP="0050757B">
      <w:pPr>
        <w:spacing w:after="0" w:line="330" w:lineRule="atLeast"/>
        <w:outlineLvl w:val="2"/>
        <w:rPr>
          <w:rFonts w:eastAsia="Times New Roman" w:cs="Arial"/>
          <w:b/>
          <w:bCs/>
          <w:color w:val="333333"/>
          <w:sz w:val="24"/>
          <w:szCs w:val="24"/>
          <w:lang w:bidi="hi-IN"/>
        </w:rPr>
      </w:pPr>
      <w:r w:rsidRPr="0050757B">
        <w:rPr>
          <w:rFonts w:eastAsia="Times New Roman" w:cs="Arial"/>
          <w:b/>
          <w:bCs/>
          <w:color w:val="333333"/>
          <w:sz w:val="24"/>
          <w:szCs w:val="24"/>
          <w:lang w:bidi="hi-IN"/>
        </w:rPr>
        <w:t>Important info</w:t>
      </w:r>
    </w:p>
    <w:p w14:paraId="1C5D3C8D" w14:textId="77777777" w:rsidR="0050757B" w:rsidRPr="0050757B" w:rsidRDefault="0050757B" w:rsidP="0050757B">
      <w:pPr>
        <w:spacing w:line="300" w:lineRule="atLeast"/>
        <w:rPr>
          <w:rFonts w:eastAsia="Times New Roman" w:cs="Arial"/>
          <w:color w:val="333333"/>
          <w:sz w:val="24"/>
          <w:szCs w:val="24"/>
          <w:lang w:bidi="hi-IN"/>
        </w:rPr>
      </w:pPr>
      <w:r w:rsidRPr="0050757B">
        <w:rPr>
          <w:rFonts w:eastAsia="Times New Roman" w:cs="Arial"/>
          <w:b/>
          <w:bCs/>
          <w:color w:val="333333"/>
          <w:sz w:val="24"/>
          <w:szCs w:val="24"/>
          <w:lang w:bidi="hi-IN"/>
        </w:rPr>
        <w:t>Country of Origin:</w:t>
      </w:r>
      <w:r w:rsidRPr="0050757B">
        <w:rPr>
          <w:rFonts w:eastAsia="Times New Roman" w:cs="Arial"/>
          <w:color w:val="333333"/>
          <w:sz w:val="24"/>
          <w:szCs w:val="24"/>
          <w:lang w:bidi="hi-IN"/>
        </w:rPr>
        <w:t> ROI</w:t>
      </w:r>
      <w:r w:rsidRPr="0050757B">
        <w:rPr>
          <w:rFonts w:eastAsia="Times New Roman" w:cs="Arial"/>
          <w:color w:val="333333"/>
          <w:sz w:val="24"/>
          <w:szCs w:val="24"/>
          <w:lang w:bidi="hi-IN"/>
        </w:rPr>
        <w:br/>
      </w:r>
      <w:r w:rsidRPr="0050757B">
        <w:rPr>
          <w:rFonts w:eastAsia="Times New Roman" w:cs="Arial"/>
          <w:color w:val="333333"/>
          <w:sz w:val="24"/>
          <w:szCs w:val="24"/>
          <w:lang w:bidi="hi-IN"/>
        </w:rPr>
        <w:br/>
      </w:r>
      <w:r w:rsidRPr="0050757B">
        <w:rPr>
          <w:rFonts w:eastAsia="Times New Roman" w:cs="Arial"/>
          <w:b/>
          <w:bCs/>
          <w:color w:val="333333"/>
          <w:sz w:val="24"/>
          <w:szCs w:val="24"/>
          <w:lang w:bidi="hi-IN"/>
        </w:rPr>
        <w:t>Manufacturers Address:</w:t>
      </w:r>
      <w:r w:rsidRPr="0050757B">
        <w:rPr>
          <w:rFonts w:eastAsia="Times New Roman" w:cs="Arial"/>
          <w:color w:val="333333"/>
          <w:sz w:val="24"/>
          <w:szCs w:val="24"/>
          <w:lang w:bidi="hi-IN"/>
        </w:rPr>
        <w:t> PrecisionBiotics Ltd., Building 4400, Airport Business Park, Kinsale Road, Cork, T12 N84F, Ireland.</w:t>
      </w:r>
    </w:p>
    <w:p w14:paraId="3FE8C0FE" w14:textId="77777777" w:rsidR="0050757B" w:rsidRPr="0050757B" w:rsidRDefault="0050757B" w:rsidP="0050757B">
      <w:pPr>
        <w:spacing w:after="0" w:line="330" w:lineRule="atLeast"/>
        <w:outlineLvl w:val="2"/>
        <w:rPr>
          <w:rFonts w:eastAsia="Times New Roman" w:cs="Arial"/>
          <w:b/>
          <w:bCs/>
          <w:color w:val="333333"/>
          <w:sz w:val="24"/>
          <w:szCs w:val="24"/>
          <w:lang w:bidi="hi-IN"/>
        </w:rPr>
      </w:pPr>
      <w:r w:rsidRPr="0050757B">
        <w:rPr>
          <w:rFonts w:eastAsia="Times New Roman" w:cs="Arial"/>
          <w:b/>
          <w:bCs/>
          <w:color w:val="333333"/>
          <w:sz w:val="24"/>
          <w:szCs w:val="24"/>
          <w:lang w:bidi="hi-IN"/>
        </w:rPr>
        <w:t>Ingredients</w:t>
      </w:r>
    </w:p>
    <w:p w14:paraId="5F40ACF5" w14:textId="77777777" w:rsidR="0050757B" w:rsidRPr="0050757B" w:rsidRDefault="0050757B" w:rsidP="0050757B">
      <w:pPr>
        <w:spacing w:line="300" w:lineRule="atLeast"/>
        <w:rPr>
          <w:rFonts w:eastAsia="Times New Roman" w:cs="Arial"/>
          <w:color w:val="333333"/>
          <w:sz w:val="24"/>
          <w:szCs w:val="24"/>
          <w:lang w:bidi="hi-IN"/>
        </w:rPr>
      </w:pPr>
      <w:r w:rsidRPr="0050757B">
        <w:rPr>
          <w:rFonts w:eastAsia="Times New Roman" w:cs="Arial"/>
          <w:color w:val="333333"/>
          <w:sz w:val="24"/>
          <w:szCs w:val="24"/>
          <w:lang w:bidi="hi-IN"/>
        </w:rPr>
        <w:t xml:space="preserve">Corn starch, Gelling agent: hydroxypropyl methyl cellulose, live bacterial culture*, Anti-caking agent: magnesium stearate, </w:t>
      </w:r>
      <w:proofErr w:type="spellStart"/>
      <w:r w:rsidRPr="0050757B">
        <w:rPr>
          <w:rFonts w:eastAsia="Times New Roman" w:cs="Arial"/>
          <w:color w:val="333333"/>
          <w:sz w:val="24"/>
          <w:szCs w:val="24"/>
          <w:lang w:bidi="hi-IN"/>
        </w:rPr>
        <w:t>Colour</w:t>
      </w:r>
      <w:proofErr w:type="spellEnd"/>
      <w:r w:rsidRPr="0050757B">
        <w:rPr>
          <w:rFonts w:eastAsia="Times New Roman" w:cs="Arial"/>
          <w:color w:val="333333"/>
          <w:sz w:val="24"/>
          <w:szCs w:val="24"/>
          <w:lang w:bidi="hi-IN"/>
        </w:rPr>
        <w:t>: titanium dioxide.</w:t>
      </w:r>
      <w:r w:rsidRPr="0050757B">
        <w:rPr>
          <w:rFonts w:eastAsia="Times New Roman" w:cs="Arial"/>
          <w:color w:val="333333"/>
          <w:sz w:val="24"/>
          <w:szCs w:val="24"/>
          <w:lang w:bidi="hi-IN"/>
        </w:rPr>
        <w:br/>
      </w:r>
      <w:r w:rsidRPr="0050757B">
        <w:rPr>
          <w:rFonts w:eastAsia="Times New Roman" w:cs="Arial"/>
          <w:color w:val="333333"/>
          <w:sz w:val="24"/>
          <w:szCs w:val="24"/>
          <w:lang w:bidi="hi-IN"/>
        </w:rPr>
        <w:br/>
        <w:t>*Bifidobacterium longum 35624® culture.</w:t>
      </w:r>
    </w:p>
    <w:p w14:paraId="0932C5E1" w14:textId="77777777" w:rsidR="0050757B" w:rsidRPr="00D221D9" w:rsidRDefault="0050757B" w:rsidP="0050757B"/>
    <w:sectPr w:rsidR="0050757B" w:rsidRPr="00D221D9" w:rsidSect="00DB0C2C">
      <w:headerReference w:type="default" r:id="rId7"/>
      <w:footerReference w:type="default" r:id="rId8"/>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402AE" w14:textId="77777777" w:rsidR="0050757B" w:rsidRDefault="0050757B">
      <w:r>
        <w:separator/>
      </w:r>
    </w:p>
  </w:endnote>
  <w:endnote w:type="continuationSeparator" w:id="0">
    <w:p w14:paraId="1705BD2A" w14:textId="77777777" w:rsidR="0050757B" w:rsidRDefault="0050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vozymes">
    <w:charset w:val="00"/>
    <w:family w:val="swiss"/>
    <w:pitch w:val="variable"/>
    <w:sig w:usb0="A00000AF" w:usb1="5000205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Kokila">
    <w:panose1 w:val="01010601010101010101"/>
    <w:charset w:val="01"/>
    <w:family w:val="auto"/>
    <w:pitch w:val="variable"/>
    <w:sig w:usb0="00008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01DA" w14:textId="77777777" w:rsidR="00AE402E" w:rsidRDefault="00AE402E" w:rsidP="00DB0C2C">
    <w:pPr>
      <w:pStyle w:val="Footer"/>
      <w:tabs>
        <w:tab w:val="clear" w:pos="4819"/>
        <w:tab w:val="clear" w:pos="9638"/>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18DE" w14:textId="77777777" w:rsidR="0050757B" w:rsidRDefault="0050757B">
      <w:r>
        <w:separator/>
      </w:r>
    </w:p>
  </w:footnote>
  <w:footnote w:type="continuationSeparator" w:id="0">
    <w:p w14:paraId="31802714" w14:textId="77777777" w:rsidR="0050757B" w:rsidRDefault="0050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D372" w14:textId="77777777" w:rsidR="00AE402E" w:rsidRDefault="00AE402E" w:rsidP="00DB0C2C">
    <w:pPr>
      <w:pStyle w:val="Header"/>
      <w:tabs>
        <w:tab w:val="clear" w:pos="4819"/>
        <w:tab w:val="clear" w:pos="9638"/>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A89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2A04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E856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8EE9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80A9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85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EABC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60DA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59AF5225"/>
    <w:multiLevelType w:val="multilevel"/>
    <w:tmpl w:val="1D72F7FE"/>
    <w:lvl w:ilvl="0">
      <w:start w:val="1"/>
      <w:numFmt w:val="bullet"/>
      <w:pStyle w:val="ListBullet"/>
      <w:lvlText w:val=""/>
      <w:lvlJc w:val="left"/>
      <w:pPr>
        <w:ind w:left="567" w:hanging="283"/>
      </w:pPr>
      <w:rPr>
        <w:rFonts w:ascii="Symbol" w:hAnsi="Symbol" w:hint="default"/>
        <w:color w:val="000000"/>
      </w:rPr>
    </w:lvl>
    <w:lvl w:ilvl="1">
      <w:start w:val="1"/>
      <w:numFmt w:val="bullet"/>
      <w:lvlText w:val=""/>
      <w:lvlJc w:val="left"/>
      <w:pPr>
        <w:ind w:left="851" w:hanging="283"/>
      </w:pPr>
      <w:rPr>
        <w:rFonts w:ascii="Symbol" w:hAnsi="Symbol" w:hint="default"/>
        <w:color w:val="AB8422"/>
      </w:rPr>
    </w:lvl>
    <w:lvl w:ilvl="2">
      <w:start w:val="1"/>
      <w:numFmt w:val="bullet"/>
      <w:lvlText w:val=""/>
      <w:lvlJc w:val="left"/>
      <w:pPr>
        <w:ind w:left="1135" w:hanging="283"/>
      </w:pPr>
      <w:rPr>
        <w:rFonts w:ascii="Symbol" w:hAnsi="Symbol" w:hint="default"/>
        <w:color w:val="AB8422"/>
      </w:rPr>
    </w:lvl>
    <w:lvl w:ilvl="3">
      <w:start w:val="1"/>
      <w:numFmt w:val="bullet"/>
      <w:lvlText w:val=""/>
      <w:lvlJc w:val="left"/>
      <w:pPr>
        <w:ind w:left="1419" w:hanging="283"/>
      </w:pPr>
      <w:rPr>
        <w:rFonts w:ascii="Symbol" w:hAnsi="Symbol" w:hint="default"/>
        <w:color w:val="AB8422"/>
      </w:rPr>
    </w:lvl>
    <w:lvl w:ilvl="4">
      <w:start w:val="1"/>
      <w:numFmt w:val="bullet"/>
      <w:lvlText w:val=""/>
      <w:lvlJc w:val="left"/>
      <w:pPr>
        <w:ind w:left="1703" w:hanging="283"/>
      </w:pPr>
      <w:rPr>
        <w:rFonts w:ascii="Symbol" w:hAnsi="Symbol" w:hint="default"/>
        <w:color w:val="AB8422"/>
      </w:rPr>
    </w:lvl>
    <w:lvl w:ilvl="5">
      <w:start w:val="1"/>
      <w:numFmt w:val="bullet"/>
      <w:lvlText w:val=""/>
      <w:lvlJc w:val="left"/>
      <w:pPr>
        <w:ind w:left="1987" w:hanging="283"/>
      </w:pPr>
      <w:rPr>
        <w:rFonts w:ascii="Symbol" w:hAnsi="Symbol" w:hint="default"/>
        <w:color w:val="AB8422"/>
      </w:rPr>
    </w:lvl>
    <w:lvl w:ilvl="6">
      <w:start w:val="1"/>
      <w:numFmt w:val="bullet"/>
      <w:lvlText w:val=""/>
      <w:lvlJc w:val="left"/>
      <w:pPr>
        <w:ind w:left="2271" w:hanging="283"/>
      </w:pPr>
      <w:rPr>
        <w:rFonts w:ascii="Symbol" w:hAnsi="Symbol" w:hint="default"/>
        <w:color w:val="AB8422"/>
      </w:rPr>
    </w:lvl>
    <w:lvl w:ilvl="7">
      <w:start w:val="1"/>
      <w:numFmt w:val="bullet"/>
      <w:lvlText w:val=""/>
      <w:lvlJc w:val="left"/>
      <w:pPr>
        <w:ind w:left="2555" w:hanging="283"/>
      </w:pPr>
      <w:rPr>
        <w:rFonts w:ascii="Symbol" w:hAnsi="Symbol" w:hint="default"/>
        <w:color w:val="AB8422"/>
      </w:rPr>
    </w:lvl>
    <w:lvl w:ilvl="8">
      <w:start w:val="1"/>
      <w:numFmt w:val="bullet"/>
      <w:lvlText w:val=""/>
      <w:lvlJc w:val="left"/>
      <w:pPr>
        <w:ind w:left="2839" w:hanging="283"/>
      </w:pPr>
      <w:rPr>
        <w:rFonts w:ascii="Symbol" w:hAnsi="Symbol" w:hint="default"/>
        <w:color w:val="AB8422"/>
      </w:rPr>
    </w:lvl>
  </w:abstractNum>
  <w:abstractNum w:abstractNumId="9" w15:restartNumberingAfterBreak="0">
    <w:nsid w:val="67090A2C"/>
    <w:multiLevelType w:val="multilevel"/>
    <w:tmpl w:val="65CCDCBC"/>
    <w:lvl w:ilvl="0">
      <w:start w:val="1"/>
      <w:numFmt w:val="decimal"/>
      <w:pStyle w:val="ListNumber"/>
      <w:lvlText w:val="%1."/>
      <w:lvlJc w:val="left"/>
      <w:pPr>
        <w:ind w:left="340" w:hanging="340"/>
      </w:pPr>
      <w:rPr>
        <w:rFonts w:hint="default"/>
      </w:rPr>
    </w:lvl>
    <w:lvl w:ilvl="1">
      <w:start w:val="1"/>
      <w:numFmt w:val="decimal"/>
      <w:lvlText w:val="%1.%2."/>
      <w:lvlJc w:val="left"/>
      <w:pPr>
        <w:ind w:left="680" w:hanging="340"/>
      </w:pPr>
      <w:rPr>
        <w:rFonts w:hint="default"/>
      </w:rPr>
    </w:lvl>
    <w:lvl w:ilvl="2">
      <w:start w:val="1"/>
      <w:numFmt w:val="decimal"/>
      <w:lvlText w:val="%1.%2.%3."/>
      <w:lvlJc w:val="left"/>
      <w:pPr>
        <w:ind w:left="1418" w:hanging="738"/>
      </w:pPr>
      <w:rPr>
        <w:rFonts w:hint="default"/>
      </w:rPr>
    </w:lvl>
    <w:lvl w:ilvl="3">
      <w:start w:val="1"/>
      <w:numFmt w:val="decimal"/>
      <w:lvlText w:val="%1.%2.%3.%4."/>
      <w:lvlJc w:val="left"/>
      <w:pPr>
        <w:ind w:left="2155" w:hanging="737"/>
      </w:pPr>
      <w:rPr>
        <w:rFonts w:hint="default"/>
      </w:rPr>
    </w:lvl>
    <w:lvl w:ilvl="4">
      <w:start w:val="1"/>
      <w:numFmt w:val="decimal"/>
      <w:lvlText w:val="%1.%2.%3.%4.%5."/>
      <w:lvlJc w:val="left"/>
      <w:pPr>
        <w:ind w:left="2325" w:hanging="907"/>
      </w:pPr>
      <w:rPr>
        <w:rFonts w:hint="default"/>
      </w:rPr>
    </w:lvl>
    <w:lvl w:ilvl="5">
      <w:start w:val="1"/>
      <w:numFmt w:val="decimal"/>
      <w:lvlText w:val="%1.%2.%3.%4.%5.%6."/>
      <w:lvlJc w:val="left"/>
      <w:pPr>
        <w:ind w:left="2552" w:hanging="1134"/>
      </w:pPr>
      <w:rPr>
        <w:rFonts w:hint="default"/>
      </w:rPr>
    </w:lvl>
    <w:lvl w:ilvl="6">
      <w:start w:val="1"/>
      <w:numFmt w:val="decimal"/>
      <w:lvlText w:val="%1.%2.%3.%4.%5.%6.%7."/>
      <w:lvlJc w:val="left"/>
      <w:pPr>
        <w:ind w:left="2722" w:hanging="1304"/>
      </w:pPr>
      <w:rPr>
        <w:rFonts w:hint="default"/>
      </w:rPr>
    </w:lvl>
    <w:lvl w:ilvl="7">
      <w:start w:val="1"/>
      <w:numFmt w:val="decimal"/>
      <w:lvlText w:val="%1.%2.%3.%4.%5.%6.%7.%8."/>
      <w:lvlJc w:val="left"/>
      <w:pPr>
        <w:ind w:left="2948" w:hanging="1530"/>
      </w:pPr>
      <w:rPr>
        <w:rFonts w:hint="default"/>
      </w:rPr>
    </w:lvl>
    <w:lvl w:ilvl="8">
      <w:start w:val="1"/>
      <w:numFmt w:val="decimal"/>
      <w:lvlText w:val="%1.%2.%3.%4.%5.%6.%7.%8.%9."/>
      <w:lvlJc w:val="left"/>
      <w:pPr>
        <w:ind w:left="3175" w:hanging="1757"/>
      </w:pPr>
      <w:rPr>
        <w:rFonts w:hint="default"/>
      </w:rPr>
    </w:lvl>
  </w:abstractNum>
  <w:num w:numId="1" w16cid:durableId="505747528">
    <w:abstractNumId w:val="8"/>
  </w:num>
  <w:num w:numId="2" w16cid:durableId="1033968469">
    <w:abstractNumId w:val="9"/>
  </w:num>
  <w:num w:numId="3" w16cid:durableId="1243372998">
    <w:abstractNumId w:val="7"/>
  </w:num>
  <w:num w:numId="4" w16cid:durableId="423574658">
    <w:abstractNumId w:val="6"/>
  </w:num>
  <w:num w:numId="5" w16cid:durableId="534469451">
    <w:abstractNumId w:val="5"/>
  </w:num>
  <w:num w:numId="6" w16cid:durableId="752748281">
    <w:abstractNumId w:val="4"/>
  </w:num>
  <w:num w:numId="7" w16cid:durableId="1320813890">
    <w:abstractNumId w:val="3"/>
  </w:num>
  <w:num w:numId="8" w16cid:durableId="1377972791">
    <w:abstractNumId w:val="2"/>
  </w:num>
  <w:num w:numId="9" w16cid:durableId="379063387">
    <w:abstractNumId w:val="1"/>
  </w:num>
  <w:num w:numId="10" w16cid:durableId="668481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a-DK" w:vendorID="666"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425"/>
  <w:drawingGridHorizontalSpacing w:val="78"/>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7B"/>
    <w:rsid w:val="00043BC9"/>
    <w:rsid w:val="00063F18"/>
    <w:rsid w:val="000A0C03"/>
    <w:rsid w:val="000A29E1"/>
    <w:rsid w:val="000D07C5"/>
    <w:rsid w:val="0011247F"/>
    <w:rsid w:val="00123017"/>
    <w:rsid w:val="00176D04"/>
    <w:rsid w:val="00197FF0"/>
    <w:rsid w:val="001C0F35"/>
    <w:rsid w:val="001C61AC"/>
    <w:rsid w:val="001D11BF"/>
    <w:rsid w:val="001D5822"/>
    <w:rsid w:val="001F16D8"/>
    <w:rsid w:val="00202EB3"/>
    <w:rsid w:val="00203C6B"/>
    <w:rsid w:val="00243B40"/>
    <w:rsid w:val="00274B4A"/>
    <w:rsid w:val="002803AE"/>
    <w:rsid w:val="00283D7B"/>
    <w:rsid w:val="00286A4D"/>
    <w:rsid w:val="002912F6"/>
    <w:rsid w:val="002C0B3E"/>
    <w:rsid w:val="003240CA"/>
    <w:rsid w:val="003730B3"/>
    <w:rsid w:val="00384E8B"/>
    <w:rsid w:val="003D2F4E"/>
    <w:rsid w:val="003E0ED2"/>
    <w:rsid w:val="003E7ECB"/>
    <w:rsid w:val="003F7B06"/>
    <w:rsid w:val="004275BA"/>
    <w:rsid w:val="0043064A"/>
    <w:rsid w:val="00445D84"/>
    <w:rsid w:val="00490F81"/>
    <w:rsid w:val="00491133"/>
    <w:rsid w:val="004C7F5F"/>
    <w:rsid w:val="00501449"/>
    <w:rsid w:val="0050757B"/>
    <w:rsid w:val="00554593"/>
    <w:rsid w:val="00581DDE"/>
    <w:rsid w:val="0061152D"/>
    <w:rsid w:val="006144A8"/>
    <w:rsid w:val="006321B8"/>
    <w:rsid w:val="00641031"/>
    <w:rsid w:val="006753B5"/>
    <w:rsid w:val="0069221D"/>
    <w:rsid w:val="0069472C"/>
    <w:rsid w:val="0069618B"/>
    <w:rsid w:val="006F771D"/>
    <w:rsid w:val="00700806"/>
    <w:rsid w:val="00725D98"/>
    <w:rsid w:val="0073310B"/>
    <w:rsid w:val="0073572C"/>
    <w:rsid w:val="00750939"/>
    <w:rsid w:val="007B2432"/>
    <w:rsid w:val="007C3187"/>
    <w:rsid w:val="007C4EB8"/>
    <w:rsid w:val="0080378C"/>
    <w:rsid w:val="00827C6E"/>
    <w:rsid w:val="008318C3"/>
    <w:rsid w:val="00873AE6"/>
    <w:rsid w:val="008905CC"/>
    <w:rsid w:val="008B33FC"/>
    <w:rsid w:val="008C0075"/>
    <w:rsid w:val="008C2D91"/>
    <w:rsid w:val="009005C4"/>
    <w:rsid w:val="00914078"/>
    <w:rsid w:val="00944908"/>
    <w:rsid w:val="0094567E"/>
    <w:rsid w:val="009672AA"/>
    <w:rsid w:val="009F3511"/>
    <w:rsid w:val="00A078D0"/>
    <w:rsid w:val="00A12B87"/>
    <w:rsid w:val="00A31653"/>
    <w:rsid w:val="00A33FE8"/>
    <w:rsid w:val="00AE402E"/>
    <w:rsid w:val="00AF3DE1"/>
    <w:rsid w:val="00AF4FF6"/>
    <w:rsid w:val="00B10E6F"/>
    <w:rsid w:val="00B42E0B"/>
    <w:rsid w:val="00B675B1"/>
    <w:rsid w:val="00B87B99"/>
    <w:rsid w:val="00B9239C"/>
    <w:rsid w:val="00BA21FB"/>
    <w:rsid w:val="00BF5824"/>
    <w:rsid w:val="00C029BC"/>
    <w:rsid w:val="00C142EF"/>
    <w:rsid w:val="00C26EF4"/>
    <w:rsid w:val="00C85497"/>
    <w:rsid w:val="00C95E11"/>
    <w:rsid w:val="00CB67D9"/>
    <w:rsid w:val="00CC36F6"/>
    <w:rsid w:val="00CD6172"/>
    <w:rsid w:val="00D221D9"/>
    <w:rsid w:val="00D26756"/>
    <w:rsid w:val="00D41D4F"/>
    <w:rsid w:val="00DA5DFE"/>
    <w:rsid w:val="00DB0C2C"/>
    <w:rsid w:val="00E17A90"/>
    <w:rsid w:val="00E26B61"/>
    <w:rsid w:val="00E31D6F"/>
    <w:rsid w:val="00E52563"/>
    <w:rsid w:val="00E8379D"/>
    <w:rsid w:val="00E92E10"/>
    <w:rsid w:val="00E96C4C"/>
    <w:rsid w:val="00EB1406"/>
    <w:rsid w:val="00EB2930"/>
    <w:rsid w:val="00EB3BDF"/>
    <w:rsid w:val="00ED774F"/>
    <w:rsid w:val="00EF35A3"/>
    <w:rsid w:val="00EF56A0"/>
    <w:rsid w:val="00F36D04"/>
    <w:rsid w:val="00F50C9E"/>
    <w:rsid w:val="00F52B07"/>
    <w:rsid w:val="00F60759"/>
    <w:rsid w:val="00FA5523"/>
    <w:rsid w:val="00FA640C"/>
    <w:rsid w:val="00FD3F52"/>
    <w:rsid w:val="00FF09C3"/>
  </w:rsids>
  <m:mathPr>
    <m:mathFont m:val="Cambria Math"/>
    <m:brkBin m:val="before"/>
    <m:brkBinSub m:val="--"/>
    <m:smallFrac m:val="0"/>
    <m:dispDef/>
    <m:lMargin m:val="0"/>
    <m:rMargin m:val="0"/>
    <m:defJc m:val="centerGroup"/>
    <m:wrapIndent m:val="1440"/>
    <m:intLim m:val="subSup"/>
    <m:naryLim m:val="undOvr"/>
  </m:mathPr>
  <w:themeFontLang w:val="da-DK"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93D0F"/>
  <w15:chartTrackingRefBased/>
  <w15:docId w15:val="{397FCC6F-4E56-4DA5-8FB1-E09DF29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zh-CN" w:bidi="ar-SA"/>
      </w:rPr>
    </w:rPrDefault>
    <w:pPrDefault>
      <w:pPr>
        <w:spacing w:after="200" w:line="276" w:lineRule="auto"/>
      </w:pPr>
    </w:pPrDefault>
  </w:docDefaults>
  <w:latentStyles w:defLockedState="0" w:defUIPriority="99" w:defSemiHidden="0" w:defUnhideWhenUsed="0" w:defQFormat="0" w:count="376">
    <w:lsdException w:name="Normal" w:semiHidden="1" w:uiPriority="0" w:qFormat="1"/>
    <w:lsdException w:name="heading 1" w:semiHidden="1" w:uiPriority="9" w:qFormat="1"/>
    <w:lsdException w:name="heading 2" w:semiHidden="1" w:uiPriority="9"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C4"/>
    <w:rPr>
      <w:rFonts w:ascii="Arial" w:hAnsi="Arial"/>
      <w:color w:val="000000"/>
      <w:sz w:val="20"/>
      <w:lang w:val="en-US"/>
    </w:rPr>
  </w:style>
  <w:style w:type="paragraph" w:styleId="Heading1">
    <w:name w:val="heading 1"/>
    <w:basedOn w:val="Normal"/>
    <w:next w:val="Normal"/>
    <w:link w:val="Heading1Char"/>
    <w:uiPriority w:val="2"/>
    <w:qFormat/>
    <w:rsid w:val="000D7466"/>
    <w:pPr>
      <w:keepNext/>
      <w:keepLines/>
      <w:spacing w:before="240" w:after="0" w:line="280" w:lineRule="atLeast"/>
      <w:contextualSpacing/>
      <w:outlineLvl w:val="0"/>
    </w:pPr>
    <w:rPr>
      <w:rFonts w:eastAsiaTheme="majorEastAsia" w:cstheme="majorBidi"/>
      <w:b/>
      <w:bCs/>
      <w:sz w:val="24"/>
      <w:szCs w:val="28"/>
    </w:rPr>
  </w:style>
  <w:style w:type="paragraph" w:styleId="Heading2">
    <w:name w:val="heading 2"/>
    <w:basedOn w:val="Normal"/>
    <w:next w:val="Normal"/>
    <w:link w:val="Heading2Char"/>
    <w:uiPriority w:val="2"/>
    <w:qFormat/>
    <w:rsid w:val="00BB05C4"/>
    <w:pPr>
      <w:keepNext/>
      <w:keepLines/>
      <w:spacing w:after="0" w:line="280" w:lineRule="atLeast"/>
      <w:contextualSpacing/>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B05C4"/>
    <w:pPr>
      <w:keepNext/>
      <w:keepLines/>
      <w:spacing w:before="200" w:after="0"/>
      <w:outlineLvl w:val="2"/>
    </w:pPr>
    <w:rPr>
      <w:rFonts w:eastAsiaTheme="majorEastAsia" w:cstheme="majorBidi"/>
      <w:bCs/>
      <w:u w:val="single"/>
    </w:rPr>
  </w:style>
  <w:style w:type="paragraph" w:styleId="Heading4">
    <w:name w:val="heading 4"/>
    <w:basedOn w:val="Normal"/>
    <w:next w:val="Normal"/>
    <w:link w:val="Heading4Char"/>
    <w:uiPriority w:val="2"/>
    <w:unhideWhenUsed/>
    <w:qFormat/>
    <w:rsid w:val="00BB05C4"/>
    <w:pPr>
      <w:keepNext/>
      <w:keepLines/>
      <w:spacing w:before="200" w:after="0"/>
      <w:outlineLvl w:val="3"/>
    </w:pPr>
    <w:rPr>
      <w:rFonts w:eastAsiaTheme="majorEastAsia" w:cstheme="majorBidi"/>
      <w:bCs/>
      <w:i/>
      <w:iCs/>
    </w:rPr>
  </w:style>
  <w:style w:type="paragraph" w:styleId="Heading5">
    <w:name w:val="heading 5"/>
    <w:basedOn w:val="Heading4"/>
    <w:next w:val="Normal"/>
    <w:link w:val="Heading5Char"/>
    <w:uiPriority w:val="3"/>
    <w:semiHidden/>
    <w:rsid w:val="00D221E0"/>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672AA"/>
    <w:pPr>
      <w:tabs>
        <w:tab w:val="center" w:pos="4819"/>
        <w:tab w:val="right" w:pos="9638"/>
      </w:tabs>
    </w:pPr>
    <w:rPr>
      <w:sz w:val="18"/>
    </w:rPr>
  </w:style>
  <w:style w:type="paragraph" w:styleId="Footer">
    <w:name w:val="footer"/>
    <w:basedOn w:val="Normal"/>
    <w:rsid w:val="009672AA"/>
    <w:pPr>
      <w:tabs>
        <w:tab w:val="center" w:pos="4819"/>
        <w:tab w:val="right" w:pos="9638"/>
      </w:tabs>
    </w:pPr>
    <w:rPr>
      <w:sz w:val="16"/>
    </w:rPr>
  </w:style>
  <w:style w:type="character" w:styleId="Hyperlink">
    <w:name w:val="Hyperlink"/>
    <w:basedOn w:val="DefaultParagraphFont"/>
    <w:semiHidden/>
    <w:rsid w:val="002803AE"/>
    <w:rPr>
      <w:rFonts w:ascii="Verdana" w:hAnsi="Verdana"/>
      <w:color w:val="0000FF"/>
      <w:sz w:val="20"/>
      <w:u w:val="single"/>
    </w:rPr>
  </w:style>
  <w:style w:type="paragraph" w:styleId="NormalWeb">
    <w:name w:val="Normal (Web)"/>
    <w:basedOn w:val="Normal"/>
    <w:uiPriority w:val="99"/>
    <w:semiHidden/>
    <w:rsid w:val="002803AE"/>
    <w:rPr>
      <w:rFonts w:cs="Times New Roman"/>
      <w:szCs w:val="24"/>
    </w:rPr>
  </w:style>
  <w:style w:type="character" w:customStyle="1" w:styleId="Heading1Char">
    <w:name w:val="Heading 1 Char"/>
    <w:basedOn w:val="DefaultParagraphFont"/>
    <w:link w:val="Heading1"/>
    <w:uiPriority w:val="2"/>
    <w:rsid w:val="000D7466"/>
    <w:rPr>
      <w:rFonts w:ascii="Arial" w:eastAsiaTheme="majorEastAsia" w:hAnsi="Arial" w:cstheme="majorBidi"/>
      <w:b/>
      <w:bCs/>
      <w:color w:val="000000"/>
      <w:sz w:val="24"/>
      <w:szCs w:val="28"/>
      <w:lang w:val="en-US"/>
    </w:rPr>
  </w:style>
  <w:style w:type="character" w:customStyle="1" w:styleId="Heading2Char">
    <w:name w:val="Heading 2 Char"/>
    <w:basedOn w:val="DefaultParagraphFont"/>
    <w:link w:val="Heading2"/>
    <w:uiPriority w:val="2"/>
    <w:rsid w:val="00BB05C4"/>
    <w:rPr>
      <w:rFonts w:ascii="Arial" w:eastAsiaTheme="majorEastAsia" w:hAnsi="Arial" w:cstheme="majorBidi"/>
      <w:b/>
      <w:bCs/>
      <w:color w:val="000000"/>
      <w:sz w:val="20"/>
      <w:szCs w:val="26"/>
      <w:lang w:val="en-US"/>
    </w:rPr>
  </w:style>
  <w:style w:type="paragraph" w:styleId="Title">
    <w:name w:val="Title"/>
    <w:basedOn w:val="Normal"/>
    <w:next w:val="Normal"/>
    <w:link w:val="TitleChar"/>
    <w:uiPriority w:val="1"/>
    <w:qFormat/>
    <w:rsid w:val="00A01204"/>
    <w:pPr>
      <w:spacing w:after="140" w:line="480" w:lineRule="atLeast"/>
    </w:pPr>
    <w:rPr>
      <w:rFonts w:eastAsiaTheme="majorEastAsia" w:cstheme="majorBidi"/>
      <w:b/>
      <w:sz w:val="40"/>
      <w:szCs w:val="52"/>
    </w:rPr>
  </w:style>
  <w:style w:type="character" w:customStyle="1" w:styleId="TitleChar">
    <w:name w:val="Title Char"/>
    <w:basedOn w:val="DefaultParagraphFont"/>
    <w:link w:val="Title"/>
    <w:uiPriority w:val="1"/>
    <w:rsid w:val="00A01204"/>
    <w:rPr>
      <w:rFonts w:ascii="Arial" w:eastAsiaTheme="majorEastAsia" w:hAnsi="Arial" w:cstheme="majorBidi"/>
      <w:b/>
      <w:color w:val="2D0028"/>
      <w:sz w:val="40"/>
      <w:szCs w:val="52"/>
      <w:lang w:val="en-US"/>
    </w:rPr>
  </w:style>
  <w:style w:type="paragraph" w:styleId="Caption">
    <w:name w:val="caption"/>
    <w:basedOn w:val="Normal"/>
    <w:next w:val="Normal"/>
    <w:uiPriority w:val="4"/>
    <w:qFormat/>
    <w:rsid w:val="00A01204"/>
    <w:pPr>
      <w:spacing w:before="150" w:after="0" w:line="280" w:lineRule="atLeast"/>
      <w:contextualSpacing/>
    </w:pPr>
    <w:rPr>
      <w:bCs/>
      <w:szCs w:val="18"/>
    </w:rPr>
  </w:style>
  <w:style w:type="paragraph" w:styleId="ListBullet">
    <w:name w:val="List Bullet"/>
    <w:basedOn w:val="Normal"/>
    <w:uiPriority w:val="3"/>
    <w:qFormat/>
    <w:rsid w:val="00C3411A"/>
    <w:pPr>
      <w:numPr>
        <w:numId w:val="1"/>
      </w:numPr>
      <w:spacing w:after="0" w:line="280" w:lineRule="atLeast"/>
      <w:contextualSpacing/>
    </w:pPr>
    <w:rPr>
      <w:szCs w:val="20"/>
      <w:lang w:val="da-DK"/>
    </w:rPr>
  </w:style>
  <w:style w:type="paragraph" w:styleId="ListNumber">
    <w:name w:val="List Number"/>
    <w:basedOn w:val="Normal"/>
    <w:uiPriority w:val="3"/>
    <w:qFormat/>
    <w:rsid w:val="00F5548A"/>
    <w:pPr>
      <w:numPr>
        <w:numId w:val="2"/>
      </w:numPr>
      <w:spacing w:after="0" w:line="280" w:lineRule="atLeast"/>
      <w:contextualSpacing/>
    </w:pPr>
    <w:rPr>
      <w:szCs w:val="20"/>
    </w:rPr>
  </w:style>
  <w:style w:type="paragraph" w:customStyle="1" w:styleId="Introduction">
    <w:name w:val="Introduction"/>
    <w:basedOn w:val="Normal"/>
    <w:uiPriority w:val="1"/>
    <w:qFormat/>
    <w:rsid w:val="00BB05C4"/>
    <w:pPr>
      <w:spacing w:after="540" w:line="280" w:lineRule="atLeast"/>
      <w:contextualSpacing/>
    </w:pPr>
    <w:rPr>
      <w:szCs w:val="20"/>
    </w:rPr>
  </w:style>
  <w:style w:type="character" w:customStyle="1" w:styleId="Heading3Char">
    <w:name w:val="Heading 3 Char"/>
    <w:basedOn w:val="DefaultParagraphFont"/>
    <w:link w:val="Heading3"/>
    <w:uiPriority w:val="9"/>
    <w:rsid w:val="00BB05C4"/>
    <w:rPr>
      <w:rFonts w:ascii="Arial" w:eastAsiaTheme="majorEastAsia" w:hAnsi="Arial" w:cstheme="majorBidi"/>
      <w:bCs/>
      <w:color w:val="000000"/>
      <w:sz w:val="20"/>
      <w:u w:val="single"/>
      <w:lang w:val="en-US"/>
    </w:rPr>
  </w:style>
  <w:style w:type="character" w:customStyle="1" w:styleId="Heading4Char">
    <w:name w:val="Heading 4 Char"/>
    <w:basedOn w:val="DefaultParagraphFont"/>
    <w:link w:val="Heading4"/>
    <w:uiPriority w:val="2"/>
    <w:rsid w:val="00BB05C4"/>
    <w:rPr>
      <w:rFonts w:ascii="Arial" w:eastAsiaTheme="majorEastAsia" w:hAnsi="Arial" w:cstheme="majorBidi"/>
      <w:bCs/>
      <w:i/>
      <w:iCs/>
      <w:color w:val="000000"/>
      <w:sz w:val="20"/>
      <w:lang w:val="en-US"/>
    </w:rPr>
  </w:style>
  <w:style w:type="character" w:customStyle="1" w:styleId="Heading5Char">
    <w:name w:val="Heading 5 Char"/>
    <w:basedOn w:val="DefaultParagraphFont"/>
    <w:link w:val="Heading5"/>
    <w:uiPriority w:val="3"/>
    <w:semiHidden/>
    <w:rsid w:val="00170696"/>
    <w:rPr>
      <w:rFonts w:ascii="Verdana" w:eastAsiaTheme="majorEastAsia" w:hAnsi="Verdana" w:cstheme="majorBidi"/>
      <w:bCs/>
      <w:i/>
      <w:iCs/>
      <w:color w:val="332F2C"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308486">
      <w:bodyDiv w:val="1"/>
      <w:marLeft w:val="0"/>
      <w:marRight w:val="0"/>
      <w:marTop w:val="0"/>
      <w:marBottom w:val="0"/>
      <w:divBdr>
        <w:top w:val="none" w:sz="0" w:space="0" w:color="auto"/>
        <w:left w:val="none" w:sz="0" w:space="0" w:color="auto"/>
        <w:bottom w:val="none" w:sz="0" w:space="0" w:color="auto"/>
        <w:right w:val="none" w:sz="0" w:space="0" w:color="auto"/>
      </w:divBdr>
      <w:divsChild>
        <w:div w:id="1350252747">
          <w:marLeft w:val="0"/>
          <w:marRight w:val="0"/>
          <w:marTop w:val="0"/>
          <w:marBottom w:val="225"/>
          <w:divBdr>
            <w:top w:val="none" w:sz="0" w:space="0" w:color="auto"/>
            <w:left w:val="none" w:sz="0" w:space="0" w:color="auto"/>
            <w:bottom w:val="none" w:sz="0" w:space="0" w:color="auto"/>
            <w:right w:val="none" w:sz="0" w:space="0" w:color="auto"/>
          </w:divBdr>
        </w:div>
        <w:div w:id="1451363518">
          <w:marLeft w:val="0"/>
          <w:marRight w:val="0"/>
          <w:marTop w:val="0"/>
          <w:marBottom w:val="225"/>
          <w:divBdr>
            <w:top w:val="none" w:sz="0" w:space="0" w:color="auto"/>
            <w:left w:val="none" w:sz="0" w:space="0" w:color="auto"/>
            <w:bottom w:val="none" w:sz="0" w:space="0" w:color="auto"/>
            <w:right w:val="none" w:sz="0" w:space="0" w:color="auto"/>
          </w:divBdr>
        </w:div>
        <w:div w:id="1645045093">
          <w:marLeft w:val="0"/>
          <w:marRight w:val="0"/>
          <w:marTop w:val="0"/>
          <w:marBottom w:val="225"/>
          <w:divBdr>
            <w:top w:val="none" w:sz="0" w:space="0" w:color="auto"/>
            <w:left w:val="none" w:sz="0" w:space="0" w:color="auto"/>
            <w:bottom w:val="none" w:sz="0" w:space="0" w:color="auto"/>
            <w:right w:val="none" w:sz="0" w:space="0" w:color="auto"/>
          </w:divBdr>
        </w:div>
      </w:divsChild>
    </w:div>
    <w:div w:id="2003850322">
      <w:bodyDiv w:val="1"/>
      <w:marLeft w:val="0"/>
      <w:marRight w:val="0"/>
      <w:marTop w:val="0"/>
      <w:marBottom w:val="0"/>
      <w:divBdr>
        <w:top w:val="none" w:sz="0" w:space="0" w:color="auto"/>
        <w:left w:val="none" w:sz="0" w:space="0" w:color="auto"/>
        <w:bottom w:val="none" w:sz="0" w:space="0" w:color="auto"/>
        <w:right w:val="none" w:sz="0" w:space="0" w:color="auto"/>
      </w:divBdr>
      <w:divsChild>
        <w:div w:id="1506090154">
          <w:marLeft w:val="0"/>
          <w:marRight w:val="0"/>
          <w:marTop w:val="0"/>
          <w:marBottom w:val="225"/>
          <w:divBdr>
            <w:top w:val="none" w:sz="0" w:space="0" w:color="auto"/>
            <w:left w:val="none" w:sz="0" w:space="0" w:color="auto"/>
            <w:bottom w:val="none" w:sz="0" w:space="0" w:color="auto"/>
            <w:right w:val="none" w:sz="0" w:space="0" w:color="auto"/>
          </w:divBdr>
        </w:div>
        <w:div w:id="1009020570">
          <w:marLeft w:val="0"/>
          <w:marRight w:val="0"/>
          <w:marTop w:val="0"/>
          <w:marBottom w:val="225"/>
          <w:divBdr>
            <w:top w:val="none" w:sz="0" w:space="0" w:color="auto"/>
            <w:left w:val="none" w:sz="0" w:space="0" w:color="auto"/>
            <w:bottom w:val="none" w:sz="0" w:space="0" w:color="auto"/>
            <w:right w:val="none" w:sz="0" w:space="0" w:color="auto"/>
          </w:divBdr>
        </w:div>
        <w:div w:id="54109406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Novozymes Template 2023">
  <a:themeElements>
    <a:clrScheme name="Novozymes 2023">
      <a:dk1>
        <a:srgbClr val="332F2C"/>
      </a:dk1>
      <a:lt1>
        <a:srgbClr val="FFFFFF"/>
      </a:lt1>
      <a:dk2>
        <a:srgbClr val="4F4945"/>
      </a:dk2>
      <a:lt2>
        <a:srgbClr val="E5E1D5"/>
      </a:lt2>
      <a:accent1>
        <a:srgbClr val="B3C800"/>
      </a:accent1>
      <a:accent2>
        <a:srgbClr val="2C5728"/>
      </a:accent2>
      <a:accent3>
        <a:srgbClr val="164951"/>
      </a:accent3>
      <a:accent4>
        <a:srgbClr val="CAE0E1"/>
      </a:accent4>
      <a:accent5>
        <a:srgbClr val="AB7968"/>
      </a:accent5>
      <a:accent6>
        <a:srgbClr val="FFDAD8"/>
      </a:accent6>
      <a:hlink>
        <a:srgbClr val="0000FF"/>
      </a:hlink>
      <a:folHlink>
        <a:srgbClr val="800080"/>
      </a:folHlink>
    </a:clrScheme>
    <a:fontScheme name="Novozymes">
      <a:majorFont>
        <a:latin typeface="Novozymes"/>
        <a:ea typeface=""/>
        <a:cs typeface=""/>
      </a:majorFont>
      <a:minorFont>
        <a:latin typeface="Novozyme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25999" tIns="90000" rIns="125999" bIns="90000" numCol="1" spcCol="38100" rtlCol="0" anchor="t">
        <a:noAutofit/>
      </a:bodyPr>
      <a:lstStyle>
        <a:defPPr marL="0" marR="0" indent="0" algn="l" defTabSz="825500" rtl="0" fontAlgn="auto" latinLnBrk="0" hangingPunct="0">
          <a:lnSpc>
            <a:spcPct val="100000"/>
          </a:lnSpc>
          <a:spcBef>
            <a:spcPts val="0"/>
          </a:spcBef>
          <a:spcAft>
            <a:spcPts val="0"/>
          </a:spcAft>
          <a:buClrTx/>
          <a:buSzTx/>
          <a:buFontTx/>
          <a:buNone/>
          <a:tabLst/>
          <a:defRPr kumimoji="0" sz="1200" b="0" i="0" u="none" strike="noStrike" cap="none" spc="0" normalizeH="0" baseline="0" dirty="0" smtClean="0">
            <a:ln>
              <a:noFill/>
            </a:ln>
            <a:solidFill>
              <a:schemeClr val="bg1"/>
            </a:solidFill>
            <a:effectLst/>
            <a:uFillTx/>
            <a:latin typeface="Novozymes" panose="020F0503040000020004" pitchFamily="34" charset="77"/>
            <a:sym typeface="Helvetica Light"/>
          </a:defRPr>
        </a:defPPr>
      </a:lstStyle>
      <a:style>
        <a:lnRef idx="0">
          <a:scrgbClr r="0" g="0" b="0"/>
        </a:lnRef>
        <a:fillRef idx="0">
          <a:scrgbClr r="0" g="0" b="0"/>
        </a:fillRef>
        <a:effectRef idx="0">
          <a:scrgbClr r="0" g="0" b="0"/>
        </a:effectRef>
        <a:fontRef idx="none"/>
      </a:style>
    </a:spDef>
    <a:lnDef>
      <a:spPr>
        <a:ln w="9525">
          <a:solidFill>
            <a:srgbClr val="2D0028"/>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lnSpc>
            <a:spcPct val="97000"/>
          </a:lnSpc>
          <a:defRPr dirty="0" err="1" smtClean="0">
            <a:solidFill>
              <a:schemeClr val="accent2"/>
            </a:solidFill>
          </a:defRPr>
        </a:defPPr>
      </a:lstStyle>
    </a:txDef>
  </a:objectDefaults>
  <a:extraClrSchemeLst/>
  <a:custClrLst>
    <a:custClr name="White / 100">
      <a:srgbClr val="FFFFFF"/>
    </a:custClr>
    <a:custClr name="Coal black / 100">
      <a:srgbClr val="322F2D"/>
    </a:custClr>
    <a:custClr name="Sand gray / 100">
      <a:srgbClr val="E5E1D5"/>
    </a:custClr>
    <a:custClr name="Charcoal gray / 100">
      <a:srgbClr val="4F4945"/>
    </a:custClr>
    <a:custClr name="Spring green / 100">
      <a:srgbClr val="B3C800"/>
    </a:custClr>
    <a:custClr name="Forest green / 100">
      <a:srgbClr val="2C5728"/>
    </a:custClr>
    <a:custClr name="Ocean blue / 100">
      <a:srgbClr val="164951"/>
    </a:custClr>
    <a:custClr name="Sky blue / 100">
      <a:srgbClr val="95C2C3"/>
    </a:custClr>
    <a:custClr name="Pecan brown / 100">
      <a:srgbClr val="AB7A68"/>
    </a:custClr>
    <a:custClr name="Blossom pink / 100">
      <a:srgbClr val="FFB6B2"/>
    </a:custClr>
    <a:custClr name="White / 75">
      <a:srgbClr val="FFFFFF"/>
    </a:custClr>
    <a:custClr name="Coal black / 75">
      <a:srgbClr val="656361"/>
    </a:custClr>
    <a:custClr name="Sand gray / 75">
      <a:srgbClr val="EBE8DF"/>
    </a:custClr>
    <a:custClr name="Charcoal gray / 75">
      <a:srgbClr val="7B7673"/>
    </a:custClr>
    <a:custClr name="Spring green / 75">
      <a:srgbClr val="C6D640"/>
    </a:custClr>
    <a:custClr name="Forest green / 75">
      <a:srgbClr val="61815E"/>
    </a:custClr>
    <a:custClr name="Ocean blue / 75">
      <a:srgbClr val="50767C"/>
    </a:custClr>
    <a:custClr name="Sky blue / 75">
      <a:srgbClr val="AFD1D2"/>
    </a:custClr>
    <a:custClr name="Pecan brown / 75">
      <a:srgbClr val="C09B8E"/>
    </a:custClr>
    <a:custClr name="Blossom pink / 75">
      <a:srgbClr val="FFC8C5"/>
    </a:custClr>
    <a:custClr name="White / 50">
      <a:srgbClr val="FFFFFF"/>
    </a:custClr>
    <a:custClr name="Coal black / 50">
      <a:srgbClr val="989796"/>
    </a:custClr>
    <a:custClr name="Sand gray / 50">
      <a:srgbClr val="F2F0EA"/>
    </a:custClr>
    <a:custClr name="Charcoal gray / 50">
      <a:srgbClr val="A7A4A2"/>
    </a:custClr>
    <a:custClr name="Spring green / 50">
      <a:srgbClr val="D9E380"/>
    </a:custClr>
    <a:custClr name="Forest green / 50">
      <a:srgbClr val="95AB93"/>
    </a:custClr>
    <a:custClr name="Ocean blue / 50">
      <a:srgbClr val="8AA4A8"/>
    </a:custClr>
    <a:custClr name="Sky blue / 50">
      <a:srgbClr val="CAE0E1"/>
    </a:custClr>
    <a:custClr name="Pecan brown / 50">
      <a:srgbClr val="D5BCB3"/>
    </a:custClr>
    <a:custClr name="Blossom pink / 50">
      <a:srgbClr val="FFDAD8"/>
    </a:custClr>
    <a:custClr name="White / 25">
      <a:srgbClr val="FFFFFF"/>
    </a:custClr>
    <a:custClr name="Coal black / 25">
      <a:srgbClr val="CCCBCA"/>
    </a:custClr>
    <a:custClr name="Sand gray / 25">
      <a:srgbClr val="F8F7F4"/>
    </a:custClr>
    <a:custClr name="Charcoal gray / 25">
      <a:srgbClr val="D3D1D0"/>
    </a:custClr>
    <a:custClr name="Spring green / 25">
      <a:srgbClr val="ECF1BF"/>
    </a:custClr>
    <a:custClr name="Forest green / 25">
      <a:srgbClr val="CAD5C9"/>
    </a:custClr>
    <a:custClr name="Ocean blue / 25">
      <a:srgbClr val="C5D1D3"/>
    </a:custClr>
    <a:custClr name="Sky blue / 25">
      <a:srgbClr val="E4F0F0"/>
    </a:custClr>
    <a:custClr name="Pecan brown / 25">
      <a:srgbClr val="EADED9"/>
    </a:custClr>
    <a:custClr name="Blossom pink / 25">
      <a:srgbClr val="FFEDEC"/>
    </a:custClr>
    <a:custClr name="Signal green">
      <a:srgbClr val="55A500"/>
    </a:custClr>
    <a:custClr name="Signal yellow">
      <a:srgbClr val="FFB400"/>
    </a:custClr>
    <a:custClr name="Signal red">
      <a:srgbClr val="E40521"/>
    </a:custClr>
  </a:custClrLst>
  <a:extLst>
    <a:ext uri="{05A4C25C-085E-4340-85A3-A5531E510DB2}">
      <thm15:themeFamily xmlns:thm15="http://schemas.microsoft.com/office/thememl/2012/main" name="Basic template.pptx" id="{28FD9D03-BCFB-4BA8-B780-661B54EA8470}" vid="{4432D3DF-7E4C-4A06-9B96-4C549BA69D64}"/>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484</Words>
  <Characters>2633</Characters>
  <Application>Microsoft Office Word</Application>
  <DocSecurity>0</DocSecurity>
  <Lines>21</Lines>
  <Paragraphs>6</Paragraphs>
  <ScaleCrop>false</ScaleCrop>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CRLW (Clare Lawrence)</dc:creator>
  <cp:keywords>Verdana, Normal.dot</cp:keywords>
  <dc:description/>
  <cp:lastModifiedBy>CRLW (Clare Lawrence)</cp:lastModifiedBy>
  <cp:revision>1</cp:revision>
  <dcterms:created xsi:type="dcterms:W3CDTF">2023-10-12T08:23:00Z</dcterms:created>
  <dcterms:modified xsi:type="dcterms:W3CDTF">2023-10-12T08:27:00Z</dcterms:modified>
</cp:coreProperties>
</file>